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 - график («дорожная карта»)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мероприятий введения обновленных государственных образовательных стандартов начального общего и основного общего образования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b/>
          <w:sz w:val="24"/>
          <w:szCs w:val="24"/>
        </w:rPr>
        <w:t>М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b/>
          <w:sz w:val="24"/>
          <w:szCs w:val="24"/>
        </w:rPr>
        <w:t>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СОШ №8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с. Боль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шесидоровское</w:t>
      </w:r>
    </w:p>
    <w:p>
      <w:pPr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5"/>
        <w:tblW w:w="1088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02"/>
        <w:gridCol w:w="1313"/>
        <w:gridCol w:w="1613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6" w:type="dxa"/>
            <w:shd w:val="clear" w:color="auto" w:fill="auto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Наименование мероприятия</w:t>
            </w:r>
          </w:p>
        </w:tc>
        <w:tc>
          <w:tcPr>
            <w:tcW w:w="1313" w:type="dxa"/>
            <w:shd w:val="clear" w:color="auto" w:fill="auto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Сроки исполнения</w:t>
            </w:r>
          </w:p>
        </w:tc>
        <w:tc>
          <w:tcPr>
            <w:tcW w:w="1613" w:type="dxa"/>
            <w:shd w:val="clear" w:color="auto" w:fill="auto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Ответственные</w:t>
            </w:r>
          </w:p>
        </w:tc>
        <w:tc>
          <w:tcPr>
            <w:tcW w:w="4134" w:type="dxa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8" w:type="dxa"/>
            <w:gridSpan w:val="5"/>
          </w:tcPr>
          <w:p>
            <w:pPr>
              <w:ind w:left="-62" w:right="-6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плана-графика введения обновленных ФГОС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на уровне ОО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январь  - март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Разработан и реализуется план-график   по  введению обновленных ФГОС на уровне образовательных 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8" w:type="dxa"/>
            <w:gridSpan w:val="5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Развитие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школьной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методической  службы с учетом введения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январь-март 2022</w:t>
            </w:r>
          </w:p>
        </w:tc>
        <w:tc>
          <w:tcPr>
            <w:tcW w:w="1613" w:type="dxa"/>
          </w:tcPr>
          <w:p>
            <w:pPr>
              <w:pStyle w:val="4"/>
              <w:ind w:left="-62" w:right="-65"/>
              <w:jc w:val="both"/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УВР, руководители ШМО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Создана система методической службы в  школ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школьных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семинаров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совещаний при директоре, заседаний рабочих групп, заседаний ШМО, педсоветов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 актуальным вопросам введения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март- июнь  2022</w:t>
            </w:r>
          </w:p>
        </w:tc>
        <w:tc>
          <w:tcPr>
            <w:tcW w:w="1613" w:type="dxa"/>
          </w:tcPr>
          <w:p>
            <w:pPr>
              <w:pStyle w:val="4"/>
              <w:ind w:left="-62" w:right="-65"/>
              <w:jc w:val="both"/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УВР, руководители ШМО, руководители рабочих групп по переходу на обновленные ФГОС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Созданы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для обсуждения общих в педагогическом сообществе проблемных вопросов, возможность включения в процесс профессионального общения каждого учителя и оказания своевременной адресной помощи педагогическим работникам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Представление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практики школы по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реализации ФГОС НОО и ООО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на уровне районных мероприятий (научно-практические конференции, заседания МО и т.п.)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 -ноябрь 2022</w:t>
            </w:r>
          </w:p>
        </w:tc>
        <w:tc>
          <w:tcPr>
            <w:tcW w:w="1613" w:type="dxa"/>
          </w:tcPr>
          <w:p>
            <w:pPr>
              <w:pStyle w:val="4"/>
              <w:ind w:left="-62" w:right="-65"/>
              <w:jc w:val="both"/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.директора по УВР, руководители рабочих групп по переходу на   обновленные ФГОС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Представлены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результаты реализации обновленных ФГОС в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Активизация работы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школьных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методических объединений учителей - предметников 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мероприятиях 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соответствии с обновленными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 – декабрь  2022</w:t>
            </w:r>
          </w:p>
        </w:tc>
        <w:tc>
          <w:tcPr>
            <w:tcW w:w="1613" w:type="dxa"/>
          </w:tcPr>
          <w:p>
            <w:pPr>
              <w:pStyle w:val="4"/>
              <w:ind w:left="-62" w:right="-65"/>
              <w:jc w:val="both"/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УВР, руководители ШМО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Актуализированы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Организация системной работы по формированию функциональной грамотности обучающихся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в ОО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отдельному плану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.директора по УВР, руководители рабочих групп по формированию функциональной грамотности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Достигнуто повышение качества образования в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Обеспечение использования учителями методических пособий, содержащих «методические шлейфы», видеоуроки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апрель -декабрь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Р</w:t>
            </w: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уководители рабочих групп по формированию функциональной грамотности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Сформированы и доведены до учителя способы достижения планируемых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Информирование педагогического сообщества о возможностях федеральных онлайн конструкторов, электронных конспектов уроков по обновленным ФГОС по всем учебным предметам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январь- август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Руководители рабочих групп по переходу на   обновленные ФГОС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Снижена нагрузка на учителя при подготовке к учебному занятию.</w:t>
            </w:r>
          </w:p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8" w:type="dxa"/>
            <w:gridSpan w:val="5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Обеспечение повышения квалификации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всех педагогических работников,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 – 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Синхронизированы процессы обучения педагогических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территории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8" w:type="dxa"/>
            <w:gridSpan w:val="5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Проведение серии консультативных совещаний по организационному и методическому сопровождению работ по введению обновленных ФГОС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февраль – март 2022; апрель –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.директора по УВР, руководители </w:t>
            </w: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рабочих групп по переходу на   обновленные ФГОС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Синхронизированы процессы управления введения обновленных ФГОС на федеральном, региональном, муниципальном уровнях и уровне образовательной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Проведение рабочих совещаний по вопросам введения обновленных ФГОС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март-май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Руководители </w:t>
            </w:r>
            <w:r>
              <w:rPr>
                <w:rFonts w:hint="default" w:ascii="Times New Roman" w:hAnsi="Times New Roman" w:eastAsia="Calibri" w:cs="Times New Roman"/>
                <w:kern w:val="24"/>
                <w:sz w:val="20"/>
                <w:szCs w:val="20"/>
                <w:lang w:val="ru-RU"/>
              </w:rPr>
              <w:t>рабочих групп по переходу на   обновленные ФГОС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Определение функций школьных координаторов по вопросам введения обновленных ФГОС  и создание базы данных ответственных руководителей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1613" w:type="dxa"/>
          </w:tcPr>
          <w:p>
            <w:pPr>
              <w:pStyle w:val="4"/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Определены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школьные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координаторы.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школой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самодиагностики готовности к введению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март-август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зам.директора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Проведена оценка готовности к введению обновленных ФГОС, выявлены дефициты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Организация участия педагог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 актуальным вопросам введения обновленных ФГОС (выездные и в формате ВКС)</w:t>
            </w:r>
          </w:p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март, апрель,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 зам.директора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участие и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своевременная коррекция действий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школьн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управленческ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команд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в рамках введения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8" w:type="dxa"/>
            <w:gridSpan w:val="5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. Информационное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7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Информирование общественности через средства массовой информации о подготовке и успешн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реализации обновленных ФГОС в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ежемесячно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.директора по УВР</w:t>
            </w:r>
          </w:p>
        </w:tc>
        <w:tc>
          <w:tcPr>
            <w:tcW w:w="4134" w:type="dxa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Осознание обществом прав и возможностей, предоставляемых системой образования Российской Федерации при реализации обновленных ФГОС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2242" w:h="15842"/>
      <w:pgMar w:top="567" w:right="760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C6E63"/>
    <w:multiLevelType w:val="multilevel"/>
    <w:tmpl w:val="18CC6E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11F7A"/>
    <w:rsid w:val="2EE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after="200" w:line="276" w:lineRule="auto"/>
    </w:pPr>
    <w:rPr>
      <w:rFonts w:eastAsiaTheme="minorEastAsia"/>
      <w:sz w:val="24"/>
      <w:szCs w:val="24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2022-03-28T17:04:00Z</dcterms:created>
  <dc:creator>школа8</dc:creator>
  <cp:lastModifiedBy>школа8</cp:lastModifiedBy>
  <dcterms:modified xsi:type="dcterms:W3CDTF">2022-03-28T17:06:07Z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32115E789E3545EBA5174F05A49B6F42</vt:lpwstr>
  </property>
</Properties>
</file>